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F6" w:rsidRPr="00620DF6" w:rsidRDefault="00620DF6" w:rsidP="0062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20DF6" w:rsidRPr="00620DF6" w:rsidRDefault="00620DF6" w:rsidP="0062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6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620DF6" w:rsidRPr="00620DF6" w:rsidRDefault="00620DF6" w:rsidP="0062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6">
        <w:rPr>
          <w:rFonts w:ascii="Times New Roman" w:hAnsi="Times New Roman" w:cs="Times New Roman"/>
          <w:b/>
          <w:sz w:val="28"/>
          <w:szCs w:val="28"/>
        </w:rPr>
        <w:t>ЧИТИНСКИЙ РАЙОН</w:t>
      </w:r>
    </w:p>
    <w:p w:rsidR="00620DF6" w:rsidRPr="00620DF6" w:rsidRDefault="00620DF6" w:rsidP="0062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</w:t>
      </w:r>
    </w:p>
    <w:p w:rsidR="00620DF6" w:rsidRPr="00620DF6" w:rsidRDefault="00620DF6" w:rsidP="00620D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DF6">
        <w:rPr>
          <w:rFonts w:ascii="Times New Roman" w:hAnsi="Times New Roman" w:cs="Times New Roman"/>
          <w:b/>
          <w:sz w:val="28"/>
          <w:szCs w:val="28"/>
        </w:rPr>
        <w:t xml:space="preserve">«НОВОКРУЧИНИНСКОЕ» 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0272C" w:rsidRPr="00E0272C" w:rsidRDefault="00E0272C" w:rsidP="00E0272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E0272C" w:rsidRPr="00E0272C" w:rsidRDefault="00E0272C" w:rsidP="00E0272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июл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2022 года                                  </w:t>
      </w:r>
      <w:r w:rsidR="00620D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№ 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302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9506" w:type="dxa"/>
        <w:tblCellMar>
          <w:left w:w="0" w:type="dxa"/>
          <w:right w:w="0" w:type="dxa"/>
        </w:tblCellMar>
        <w:tblLook w:val="04A0"/>
      </w:tblPr>
      <w:tblGrid>
        <w:gridCol w:w="9506"/>
      </w:tblGrid>
      <w:tr w:rsidR="00E0272C" w:rsidRPr="00E0272C" w:rsidTr="00620DF6">
        <w:tc>
          <w:tcPr>
            <w:tcW w:w="95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D52B1" w:rsidRDefault="00E0272C" w:rsidP="006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D962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Об утверждении Порядка разработки, реализации и оценки</w:t>
            </w:r>
          </w:p>
          <w:p w:rsidR="00CD52B1" w:rsidRDefault="00C03EF4" w:rsidP="006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э</w:t>
            </w:r>
            <w:r w:rsidR="00E0272C"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ффективности</w:t>
            </w:r>
            <w:r w:rsid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="00E0272C"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муниципальных программ </w:t>
            </w:r>
            <w:r w:rsidR="00D96281"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</w:t>
            </w:r>
            <w:r w:rsidR="00661979"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ородско</w:t>
            </w:r>
            <w:r w:rsid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го</w:t>
            </w:r>
            <w:r w:rsidR="00661979"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поселени</w:t>
            </w:r>
            <w:r w:rsid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я</w:t>
            </w:r>
          </w:p>
          <w:p w:rsidR="00E0272C" w:rsidRPr="00E0272C" w:rsidRDefault="00661979" w:rsidP="006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CD52B1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«Новокручининское»</w:t>
            </w:r>
          </w:p>
        </w:tc>
      </w:tr>
    </w:tbl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CD52B1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Бюджетным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постановлением Правительства Российской Федерации от 26.05.2021 № 786 «О системе управления государственными про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граммами Российской Федерации»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в целях совершенствования программно-целевого обеспечения процессов управления, администрация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«Новокручининское»  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ПОСТАНОВЛЯЕТ:</w:t>
      </w:r>
    </w:p>
    <w:p w:rsidR="00E0272C" w:rsidRPr="00E0272C" w:rsidRDefault="00CD52B1" w:rsidP="00620DF6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Утвердить 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постановление админи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страции 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«Новокручининское» 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Приложению.</w:t>
      </w:r>
    </w:p>
    <w:p w:rsidR="00CD52B1" w:rsidRDefault="00E0272C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информации: разместить в сети Интернет на официальном сайте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 w:rsidR="007964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7964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«Новокручининское»</w:t>
      </w:r>
      <w:r w:rsidR="0079640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D52B1" w:rsidRDefault="00CD52B1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CD52B1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Контроль исполнения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Default="00E0272C" w:rsidP="001C73C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Глава администрации                                                             В. 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Шубина</w:t>
      </w:r>
    </w:p>
    <w:p w:rsidR="001C73C8" w:rsidRPr="00E0272C" w:rsidRDefault="001C73C8" w:rsidP="001C73C8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«Новокручининское»</w:t>
      </w:r>
    </w:p>
    <w:p w:rsidR="00E0272C" w:rsidRPr="00E0272C" w:rsidRDefault="00E0272C" w:rsidP="001C73C8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Утвержден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 администрации</w:t>
      </w:r>
    </w:p>
    <w:p w:rsidR="00E0272C" w:rsidRPr="00E0272C" w:rsidRDefault="00CD52B1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«Новокручининское»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 2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7.2022 года №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302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(Приложение)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79640E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ПОРЯДОК РАЗРАБОТКИ, РЕАЛИЗАЦИИ И ОЦЕНКИ ЭФФЕКТИВНОСТИ МУНИЦИПАЛЬНЫХ ПРОГРАММ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ГОРОДСКО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«НОВОКРУЧИНИНСКОЕ» </w:t>
      </w:r>
    </w:p>
    <w:p w:rsidR="00E0272C" w:rsidRPr="00E0272C" w:rsidRDefault="00E0272C" w:rsidP="00620DF6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Общие положения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CD52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«Новокручининское»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(далее — поселение) (далее — муниципальные программы), а также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контроля за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ходом их реализации.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городско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«Новокручининское» муниципального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район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«Читинский район»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1.3. Муниципальная программа может включать в себя как отдельные мероприятия, так и подпрограммы, содержащие основные мероприятия, мероприятия, муниципальные проекты, отдельные мероприятия муниципальных, региональных, приоритетных и отраслевых проектов, (далее – комплекс процессных мероприятий, мероприятия, проекты), как требующие финансирования, так и реализуемые без финансового обеспечения. Подпрограммы, комплекс процессных мероприятий, мероприятия и проекты являются структурными элементами муниципальной 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1.4. Разработка и реализация муниципальных программ осуществляется исходя из следующих принципов: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«Новокручининское»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б) включение в муниципальную программу мер правового регулирования и финансовых (бюджетных, налоговых, имущественных, долговых) мер для достижения целей муниципальных программ;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в) обеспечение консолидации бюджетных ассигнований бюджета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«Новокручининское»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бюджета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ого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«Читинский район»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бюджета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Забайкальского края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федерального бюджета, и внебюджетных источников, направленных на реализацию муниципальной политики в соответствующих сферах и влияющих на достижение запланированных в муниципальных программах результатов;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выделение в структуре муниципальной программы: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проектной части, включающей мероприятия, ограниченные по срокам реализации и приводящие к получению новых (уникальных) результатов и (или) к значительному улучшению результатов,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процессной части, включающей мероприятия, реализуемые непрерывно либо на периодической основе, в том числе в соответствии с положениями нормативных правовых актов Российской Федерации, нормативных правовых актов Ленинградской области и нормативных правовых актов, изданных органами местного самоуправления поселения;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закрепление должностного лица, ответственного за реализацию каждого структурного элемента муниципальной 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1.5. Разработка и реализация муниципальной программы осуществляется соответствующими специалистами администрации поселения, определенными администрацией поселения в качестве ответственного исполнителя муниципальной программы (далее — ответственный исполнитель), совместно с заинтересованными специалистами администрации поселения — соисполнителями муниципальной программы (далее — соисполнители).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Соисполнителями являются специалисты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подпрограммы (подпрограмм), входящей в состав муниципальной 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Участниками муниципальной программы являются муниципальные и иные организации, учреждения и предприятия, участвующие в реализации одного или нескольких мероприятий муниципальной программы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и(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или) проектов.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1.6. Муниципальная программа подлежит общественному обсуждению и утверждается постановлением администрации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поселени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«Новокручининское»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Муниципальные программы, планируемые к финансированию в очередном финансовом году и плановом периоде, подлежат утверждению не позднее 1 ноября текущего года.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1.7. Внесение изменений в подпрограммы осуществляется путем внесения изменений в муниципальную программу.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Основание и этапы разработки муниципальной программы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2.1. Разработка муниципальной программы осуществляется на основании перечня муниципальных программ, утверждаемого постановлением администрации поселения.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Проект перечня муниципальных программ формируется 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отделом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администрации поселения в соответствии с приоритетами социально-экономического развития, определенными стратегией социально-экономического развития территории 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«Новокручининское»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основании положений федеральных, областных и муниципальных нормативно-правовых актов, предусматривающих реализацию муниципальных программ, а также с учетом предложений структурных подразделений администрации поселения.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2.2. Перечень муниципальных программ содержит: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наименования муниципальных программ;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наименования ответственных исполнителей муниципальных программ;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основные направления реализации муниципальных программ.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2.3. Разработка проекта муниципальной программы осуществляется ответственным исполнителем совместно с соисполнителями в форме проекта постановления администрации поселения, сроки и порядок подготовки которого определяются в соответствии </w:t>
      </w:r>
      <w:r w:rsidR="00C03EF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настоящим порядком.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2.4. Проект постановления администрации поселения об утверждении муниципальной программы до его представления главе администрации, рассматривается в установленном порядке и согласовывается с другими соисполнителями муниципальной программы, заместителем главы администрации поселения, курирующим соответствующие направления деятельности.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2.5. Проект постановления об утверждении муниципальной программы, направляется на согласование в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после согласования всеми соисполнителями. Рассмотрение, включая подготовку заключений по итогам рассмотрения и согласование проекта постановления администрации поселения об утверждении муниципальной программы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 экономики и финансов осуществляется в течение 10 рабочих дней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начиная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даты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поступления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проекта.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получения замечаний в ходе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согласования проекта постановления администрации поселения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в срок не более 5 рабочих дней с даты получения таких замечаний.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замечания ответственным исполнителем не принимаются, к проекту постановления администрации поселения об утверждении муниципальной программы прилагаются замечания и заключение ответственного исполнителя на замечания.</w:t>
      </w:r>
    </w:p>
    <w:p w:rsidR="00E0272C" w:rsidRPr="00E0272C" w:rsidRDefault="00023FC6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случае 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если после согласования проекта постановления администрации поселения об утверждении муниципальной программы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ом экономики и финансов, проект дорабатывается ответственным исполнителем с изменением финансирования, ожидаемых результатов, показателей, а также структуры муниципальной программы, проект должен быть направлен на повторное согласование в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2.6 Проекты муниципальных программ выносятся на общественное обсуждение одновременно с направлением на согласование в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администрации поселения.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проведения общественного обсуждения ответственный исполнитель размещает проект муниципальной программы, а также информацию о порядке представления предложений и замечаний по проекту муниципальной программы на официальном сайте администрации поселения в информационно-телекоммуникационной сети «Интернет».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Общественное обсуждение осуществляется в срок не менее 10 рабочих дней со дня размещения проекта муниципальной программы на официальном сайте администрации в информационно-телекоммуникационной сети «Интернет».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Ответственный исполнитель рассматривает поступившие предложения и замечания по проекту муниципальной программы в течение трех рабочих дней со дня поступления и дорабатывает проект с учетом поступивших предложений и замечаний. В случае если поступившие предложения и замечания ответственным исполнителем не принимаются, такие предложения и замечания и заключение ответственного исполнителя на предложения и замечания прилагаются к проекту муниципальной 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2.7 Внесение изменений в муниципальную программу осуществляется путем подготовки проекта постановления администрации поселения о внесении изменений в муниципальную программу (далее — проект изменений).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Внесение изменений в муниципальную программу путем изложения муниципальной программы в новой редакции не допускается, за исключением приведения муниципальной программы в соответствие со стратегией социально-экономического развития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Муниципального района 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«Читинский район»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планом мероприятий по реализации стратегии социально-экономического развития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Муниципального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район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D962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«Читинский район»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или перечнем муниципальных программ, изменения структуры муниципальной программы в соответствии с требованием настоящего Порядка и Методических указаний.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внесении изменений в муниципальную программу могут быть внесены изменения, касающиеся фактических значений целевых показателей (индикаторов) муниципальной программы (при наличии соответствующей информации) и фактических расходов за счет всех источников за отчетный период.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Подготовка проекта изменений осуществляется ответственным исполнителем муниципальной программы совместно с соисполнителями и участниками.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проекту изменений ответственный исполнитель совместно с соисполнителями и участниками муниципальной программы, готовит пояснительную записку с указанием причин и изложением изменений, вносимых в муниципальную программу.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Согласование проекта изменений осуществляется в соответствии с пунктами 2.3 — 2.6 настоящего Порядка.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изменении финансового обеспечения муниципальной программы менее 10% от общего объема финансирования муниципальной программы согласование проекта изменений в Контрольно-счетный орган не направляется.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Проект изменений визируется руководителями участников и соисполнителей муниципальной программы, в мероприятия и подпрограммы которой вносятся изменения.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ходе исполнения бюджета муниципальными образованиями в текущем финансовом году, показатели фактического финансового обеспечения реализации муниципальной программы могут отличаться от показателей, утвержденных в составе муниципальной программы, в пределах и по основаниям, которые предусмотрены в соответствии с Бюджетным кодексом Российской Федерации и нормативными правовыми актами муниципального образования, регулирующими внесение изменений в сводную бюджетную роспись без внесения изменений в решение о бюджете.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2.8. Внесение изменений в муниципальные программы в течение финансового года может не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осуществляться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отклонение объема бюджетных ассигнований местного бюджета, утвержденного Решением Совета депутатов, на реализацию каждой из подпрограмм муниципальной программы составляет не более чем 20 процентов накопительным итогом в течение финансового года от объема, установленного муниципальной программой.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Муниципальные программы подлежат приведению в соответствие в части объемов бюджетных ассигнований с решением о бюджете не позднее трех месяцев со дня его утверждения.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620DF6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Финансовое обеспечение реализации муниципальных программ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3.1. Финансовое обеспечение реализации муниципальных программ осуществляется за счет средств местного бюджета поселения, областного бюджета, федерального бюджета и прочих источников.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3.2. Финансовое обеспечение реализации муниципальных программ в части расходных обязательств поселения осуществляется за счет бюджетных ассигнований бюджета поселения (далее — бюджетные ассигнования).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Объемы бюджетных ассигнований указываются в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тысячах рублей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одним знаком после запятой.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Распределение бюджетных ассигнований на реализацию муниципальных программ (подпрограмм) утверждается Решением Совета депутатов о бюджете поселения на очередной финансовый год и на плановый период.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3.3. Внесение изменений в муниципальные программы является основанием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подготовки проекта Решения Совета депутатов о внесении изменений в Решение Совета депутатов о бюджете поселения в соответствии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Положением о бюджетном процессе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Городское поселение «Новокручининское» 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Муниципального района 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«Читинский район»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272C" w:rsidRPr="00E0272C" w:rsidRDefault="00E0272C" w:rsidP="007964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поселения, регулирующими порядок составления проекта бюджета и планирование бюджетных ассигнований.</w:t>
      </w:r>
    </w:p>
    <w:p w:rsidR="00E0272C" w:rsidRPr="00E0272C" w:rsidRDefault="00E0272C" w:rsidP="007964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79640E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Полномочия специалистов администрации</w:t>
      </w:r>
    </w:p>
    <w:p w:rsidR="00E0272C" w:rsidRPr="00E0272C" w:rsidRDefault="00E0272C" w:rsidP="007964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разработке и реализации муниципальных программ</w:t>
      </w:r>
    </w:p>
    <w:p w:rsidR="00E0272C" w:rsidRPr="00E0272C" w:rsidRDefault="00E0272C" w:rsidP="007964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7964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4.1. Ответственный исполнитель:</w:t>
      </w:r>
    </w:p>
    <w:p w:rsidR="00E0272C" w:rsidRPr="00E0272C" w:rsidRDefault="00E0272C" w:rsidP="0079640E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обеспечивает разработку муниципальной программы, ее согласование с соисполнителями, внесение в установленном порядке на рассмотрение главе администрации поселения;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представляет по запросам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экономики и финансов администрации поселения сведения, необходимые для проведения мониторинга реализации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запрашивает у соисполнителей, участников информацию, необходимую для подготовки ответов на запросы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экономики и финансов администрации поселения;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проводит оценку эффективности мероприятий, осуществляемых соисполнителем;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— запрашивает у соисполнителей и участников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рекомендует соисполнителям осуществить разработку отдельных мероприятий;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подготавливает годовой отчет о реализации муниципальной программы  и представляет его в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администрации поселения;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-организует размещение текста утвержденной муниципальной программы на официальном сайте администрации поселения в сети «Интернет» в течение 10 дней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даты утверждения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муниципальной программы (внесения изменений в муниципальную программу);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4.2. Соисполнители: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участвуют в разработке и осуществляют реализацию соответствующей подпрограммы (подпрограмм);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представляют в установленный срок ответственному исполнителю необходимую информацию для подготовки ответов на запросы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экономики и финансов администрации поселения, а также отчет о ходе реализации мероприятий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4.3. Участники муниципальной программы: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осуществляют реализацию мероприятий муниципальной программы в рамках своей компетенции;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— представляют ответственному исполнителю и соисполнителю необходимую информацию для подготовки ответов на запросы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экономики и финансов администрации поселения, а также отчет о ходе реализации мероприятий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E0272C" w:rsidRPr="00E0272C" w:rsidRDefault="00E0272C" w:rsidP="00620DF6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содержанию муниципальной программы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5.1. Муниципальная программа разрабатывается в соответствии с приоритетами социально-экономического развития, определенными стратегией социально-экономического развития территории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городского поселения «Новокручининское»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других нормативно-правовых актов администрации поселения на соответствующий период.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Сроки реализации муниципальной программы устанавливаются с учетом сроков и этапов реализации стратегии социально-экономического развития Призерского муниципального район Ленинградской области, но не менее чем на три года.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Требования к содержанию муниципальной программы уст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анавливаются настоящим Порядком.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5.3. Деление муниципальной программы на подпрограммы осуществляется исходя из масштабности и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сложности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решаемых в рамках муниципальной программы задач.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5.4. Муниципальная программа включает: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а) </w:t>
      </w:r>
      <w:hyperlink r:id="rId5" w:anchor="P385" w:history="1">
        <w:r w:rsidRPr="00E0272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паспорт</w:t>
        </w:r>
      </w:hyperlink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муниципальной программы по форме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согласно приложения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 к настоящему Порядку;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общую характеристику, основные проблемы и прогноз развития сферы реализации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приоритеты и цели государственной политики в сфере реализации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паспорта подпрограмм и муниципальных проектов (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включающие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том числе комплексы процессных мероприятий, мероприятия и проекты, реализуемые в рамках подпрограммы) (при наличии);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приложения к муниципальной программе: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целевые показатели муниципальной программы в соответствии с таблицей 1 приложения 1 к Порядку;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план реализации муниципальной программы в соответствии с таблицей 2 Приложения 1 к Порядку;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информация о ходе реализации муниципальной программы, финансирование мероприятий муниципальной программы в соответствии с таблицей 3 Приложения 1 к Порядку;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расходы на реализацию муниципальной программы в соответствии с таблицей 4 Приложения 1 к Порядку.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методику оценки эффективности муниципальных программ в соответствии с Приложением 2 к Порядку.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реализации муниципальной программы может быть разработан расширенный перечень целевых показателей (индикаторов) муниципальной программы, формируемый в соответствии с </w:t>
      </w:r>
      <w:hyperlink r:id="rId6" w:anchor="P135" w:history="1">
        <w:r w:rsidRPr="00E0272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пунктом 5.9</w:t>
        </w:r>
      </w:hyperlink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настоящего Порядка.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5.5. В структуре муниципальной программы выделяют проектную и процессную части.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проектную часть муниципальной программы включают: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муниципальные проекты;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отдельные мероприятия муниципальных проектов;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отдельные мероприятия, направленные на достижение целей региональных, приоритетных и отраслевых проектов Ленинградской области, федеральных проектов, являющихся составной частью соответствующих национальных проектов;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 по строительству, реконструкции объектов, приобретению объектов в муниципальную собственность;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 по предоставлению субсидий на иные цели муниципальным учреждениям, носящие проектный характер.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процессную часть муниципальной программы включают: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выполнение муниципальных заданий на оказание муниципальных услуг (выполнение работ);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осуществление текущей деятельности казенных учреждений;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обслуживание муниципального долга;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мероприятия по предоставлению субсидий на иные цели муниципальным учреждениям, не носящие проектный характер;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иные мероприятия, направленные на достижение цели муниципальной программы, не относящиеся к проектной части.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Допускается включение в процессную часть муниципальной программы мероприятий, для которых целевые показатели (индикаторы) не устанавливаются.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5.6. Мероприятия, направленные на достижение цели муниципального проекта и не включенные в муниципальный проект, группируются в комплекс процессных мероприятий (основные мероприятия) в составе соответствующей подпрограммы. Комплекс процессных мероприятий включает в себя мероприятия, направленные на достижение цели одного муниципального проекта, при этом для достижения цели одного муниципального проекта может быть сформировано несколько комплексов процессных мероприятий.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5.7. Для каждой муниципальной программы (подпрограммы) определяются ожидаемые (конечные) результаты, характеризующие достижение цели муниципальной программы (подпрограммы) и отражающие конечный социально-экономический эффект от ее реализации.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5.8. Целевые показатели (индикаторы) муниципальной программы являются измерителями ожидаемых (конечных) результатов реализации муниципальной программы и оценивают выполнение задач муниципальной 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Целевые показатели (индикаторы) муниципальной программы должны количественно характеризовать этапы ее реализации, решение задач и достижение целей, а также: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иметь количественное значение;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непосредственно зависеть от решения основных задач и этапов реализации муниципальной программы;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отражать основные параметры муниципального задания в части качества и объема предоставляемых муниципальных услуг (выполняемых работ).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5.9.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рассчитываются по методикам, принятым международными организациями, установленным законодательством Российской Федерации, региональным законодательством;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определяются на основе данных государственного (федерального, регионального) статистического наблюдения, в том числе на территории поселения, или могут быть определены на основании мониторинга информации, находящейся в открытом доступе или доступной ответственному исполнителю и соисполнителям муниципальной программы в рамках межведомственного взаимодействия;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рассчитываются по утвержденным администрацией поселения методикам, приведенным в дополнительных и обосновывающих материалах к муниципальной программе.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Перечень целевых показателей (индикаторов) муниципальной программы формируется в соответствии с Методическими указаниями. При необходимости ответственным исполнителем (соисполнителем) может быть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утвержден расширенный перечень целевых показателей (индикаторов) муниципальной программы (подпрограммы), являющийся приложением к муниципальной программе.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5.10. Отражение в муниципальной программе расходов на ее реализацию осуществляется в соответствии с </w:t>
      </w:r>
      <w:hyperlink r:id="rId7" w:anchor="P230" w:history="1">
        <w:r w:rsidRPr="00E0272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пунктом 4.1</w:t>
        </w:r>
      </w:hyperlink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настоящего Порядка по формам, установленным Методическими указаниями.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5.11. При подготовке муниципальной программы разрабатываются дополнительные и обосновывающие материалы в соответствии с Методическими указаниями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Управление и контроль реализации муниципальной программы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6.1. Текущее управление реализацией муниципальной программы осуществляется в порядке, установленном Методическими указаниями и настоящим Порядком.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6.2. Реализация муниципальной программы осуществляется в соответствии с планом реализации муниципальной программы, разрабатываемым на весь период реализации муниципальной программы и содержащим перечень основных мероприятий муниципальной программы с указанием сроков, бюджетных ассигнований, а также информации о расходах из других источников.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реализации муниципальной программы разрабатывается в соответствии с формами, установленными Методическими указаниями.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6.3. В целях обеспечения эффективного мониторинга и контроля реализации мероприятий муниципальной программы ответственный исполнитель муниципальной программы разрабатывает сводный план реализации муниципальной программы на очередной финансовый год и на плановый период. План реализации муниципальной программы разрабатывается в соответствии с Методическими указаниями и содержит перечень мероприятий муниципальной программы с указанием их сроков, ожидаемых результатов, а также объемов бюджетных ассигнований.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6.4 Ответственный исполнитель совместно с соисполнителями и участниками муниципальной программы ежеквартально до 15-го числа месяца, следующего за отчетным кварталом, по итогам года — до 1 февраля года, следующего за отчетным, разрабатывает и направляет в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поселения, отчет о реализации муниципальной программы по формам, установленным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настоящим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Порядком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6.5.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Годовой отчет о ходе реализации и оценке эффективности муниципальной программы (далее —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администрации поселения.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при подготовке годового отчета, выявляется, что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Годовой отчет о реализации муниципальной программы размещается ответственным исполнителем на официальном сайте администрации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г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ородско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е поселение «Новокручининское»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сети «Интернет» до 1 апреля года, следующего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отчетным.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6.6. </w:t>
      </w:r>
      <w:proofErr w:type="gramStart"/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администрации поселения до 5 августа (по итогам шести месяцев), 6 ноября (по итогам девяти месяцев), 5 марта года, следующего за отчетным (по итогам года), формирует сводную информацию о ходе реализации муниципальных программ за отчетный период.</w:t>
      </w:r>
      <w:proofErr w:type="gramEnd"/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6.7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ом экономики и финансов ежегодно до 30 апреля года, следующего за отчетным, производится оценка эффективности муниципальных программ.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Порядок проведения оценки эффективности муниципальных программ устанавливается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настоящим порядком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E0272C" w:rsidRPr="00E0272C" w:rsidRDefault="00994C9D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="00E0272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одовой доклад о ходе реализации и оценке эффективности муниципальных программ размещается на официальном сайте администрации поселения в сети Интернет.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6.8. В целях контроля реализации муниципальных программ 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отдел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экономики и финансов поселения осуществляет ежеквартально мониторинг реализации муниципальных программ ответственными исполнителем и соисполнителями.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6.9. Координация исполнения и предварительное рассмотрение результатов мониторинга реализации муниципальных программ осуществляются заместителем главы администрации.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6.10. По результатам оценки эффективности муниципальной программы глава администрации поселения может принять решение о сокращении на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очередной финансовый год и на плановый период бюджетных ассигнований на реализацию муниципальной программы или о досрочном прекращении реализации отдельных мероприятий муниципальной программы либо муниципальной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целом начиная с очередного финансового года.</w:t>
      </w:r>
    </w:p>
    <w:p w:rsidR="00E0272C" w:rsidRPr="00E0272C" w:rsidRDefault="00E0272C" w:rsidP="00620DF6">
      <w:pPr>
        <w:shd w:val="clear" w:color="auto" w:fill="F9F9F9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620DF6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620DF6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620DF6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620DF6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620DF6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620DF6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640E" w:rsidRDefault="0079640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640E" w:rsidRDefault="0079640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640E" w:rsidRDefault="0079640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640E" w:rsidRDefault="0079640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9640E" w:rsidRPr="00E0272C" w:rsidRDefault="0079640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1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Порядку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ПАСПОРТ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муниципальной программы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Городское поселение «Новокручининское»  </w:t>
      </w:r>
      <w:r w:rsidR="00023FC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Муниципального района  </w:t>
      </w:r>
      <w:r w:rsidR="0066197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«Читинский район»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(наименование программы)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68"/>
        <w:gridCol w:w="4287"/>
      </w:tblGrid>
      <w:tr w:rsidR="00E0272C" w:rsidRPr="00994C9D" w:rsidTr="00E0272C">
        <w:tc>
          <w:tcPr>
            <w:tcW w:w="9690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Проекты, реализуемые в рамках муниципальной программы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53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Финансовое обеспечение муниципальной программы — всего, в том числе по годам реализации</w:t>
            </w:r>
          </w:p>
        </w:tc>
        <w:tc>
          <w:tcPr>
            <w:tcW w:w="43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Pr="00E0272C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20DF6" w:rsidRDefault="00E0272C" w:rsidP="00E0272C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                                      </w:t>
      </w:r>
    </w:p>
    <w:p w:rsidR="00620DF6" w:rsidRDefault="00620DF6" w:rsidP="00E0272C">
      <w:pPr>
        <w:shd w:val="clear" w:color="auto" w:fill="F9F9F9"/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                                                                                                                   Приложение 1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Порядку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1</w:t>
      </w:r>
    </w:p>
    <w:p w:rsidR="00E0272C" w:rsidRPr="00E0272C" w:rsidRDefault="00E0272C" w:rsidP="00620DF6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Целевые показатели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муниципальной программы/подпрограммы &lt;*&gt;</w:t>
      </w:r>
    </w:p>
    <w:p w:rsidR="00E0272C" w:rsidRPr="000A074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</w:pPr>
      <w:bookmarkStart w:id="0" w:name="_GoBack"/>
      <w:r w:rsidRPr="000A074C"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  <w:t>«наименование муниципальной программы/подпрограммы»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901"/>
        <w:gridCol w:w="2631"/>
        <w:gridCol w:w="1449"/>
        <w:gridCol w:w="1406"/>
        <w:gridCol w:w="1365"/>
        <w:gridCol w:w="1457"/>
        <w:gridCol w:w="1208"/>
        <w:gridCol w:w="2768"/>
      </w:tblGrid>
      <w:tr w:rsidR="00E0272C" w:rsidRPr="00994C9D" w:rsidTr="000A074C">
        <w:tc>
          <w:tcPr>
            <w:tcW w:w="9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bookmarkEnd w:id="0"/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№ строки</w:t>
            </w:r>
          </w:p>
        </w:tc>
        <w:tc>
          <w:tcPr>
            <w:tcW w:w="26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Наименование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целевого показателя муниципальной программы/подпрограммы</w:t>
            </w:r>
          </w:p>
        </w:tc>
        <w:tc>
          <w:tcPr>
            <w:tcW w:w="144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5436" w:type="dxa"/>
            <w:gridSpan w:val="4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Значения целевых показателей</w:t>
            </w:r>
          </w:p>
        </w:tc>
        <w:tc>
          <w:tcPr>
            <w:tcW w:w="2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Справочно: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базовое значение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целевого показателя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(на начало реализации муниципальной программы)</w:t>
            </w:r>
          </w:p>
        </w:tc>
      </w:tr>
      <w:tr w:rsidR="00E0272C" w:rsidRPr="00994C9D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По итогам первого года реализации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По итогам второго года реализации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По итогам третьего года реализации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…….</w:t>
            </w:r>
          </w:p>
        </w:tc>
        <w:tc>
          <w:tcPr>
            <w:tcW w:w="276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</w:tr>
      <w:tr w:rsidR="00E0272C" w:rsidRPr="00994C9D" w:rsidTr="000A074C">
        <w:tc>
          <w:tcPr>
            <w:tcW w:w="1318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Показатель 1, единица измерения</w:t>
            </w:r>
          </w:p>
        </w:tc>
      </w:tr>
      <w:tr w:rsidR="00E0272C" w:rsidRPr="00994C9D" w:rsidTr="000A074C">
        <w:tc>
          <w:tcPr>
            <w:tcW w:w="9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1</w:t>
            </w:r>
          </w:p>
        </w:tc>
        <w:tc>
          <w:tcPr>
            <w:tcW w:w="26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</w:tr>
      <w:tr w:rsidR="00E0272C" w:rsidRPr="00994C9D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  <w:tr w:rsidR="00E0272C" w:rsidRPr="00994C9D" w:rsidTr="000A074C">
        <w:tc>
          <w:tcPr>
            <w:tcW w:w="1318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Показатель 2, единица измерения</w:t>
            </w:r>
          </w:p>
        </w:tc>
      </w:tr>
      <w:tr w:rsidR="00E0272C" w:rsidRPr="00994C9D" w:rsidTr="000A074C">
        <w:tc>
          <w:tcPr>
            <w:tcW w:w="9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2</w:t>
            </w:r>
          </w:p>
        </w:tc>
        <w:tc>
          <w:tcPr>
            <w:tcW w:w="26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</w:tr>
      <w:tr w:rsidR="00E0272C" w:rsidRPr="00994C9D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  <w:tr w:rsidR="00E0272C" w:rsidRPr="00994C9D" w:rsidTr="000A074C">
        <w:tc>
          <w:tcPr>
            <w:tcW w:w="13185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Показатель 3, единица измерения</w:t>
            </w:r>
          </w:p>
        </w:tc>
      </w:tr>
      <w:tr w:rsidR="00E0272C" w:rsidRPr="00994C9D" w:rsidTr="000A074C">
        <w:tc>
          <w:tcPr>
            <w:tcW w:w="90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3</w:t>
            </w:r>
          </w:p>
        </w:tc>
        <w:tc>
          <w:tcPr>
            <w:tcW w:w="2631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плановое значение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</w:tr>
      <w:tr w:rsidR="00E0272C" w:rsidRPr="00994C9D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1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</w:tbl>
    <w:p w:rsidR="00E0272C" w:rsidRPr="00994C9D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</w:pPr>
      <w:r w:rsidRPr="00994C9D"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  <w:t>&lt;*&gt; При наличии в муниципальной программе подпрограмм целевые показатели формируются по каждой подпрограмме отдельно.</w:t>
      </w:r>
    </w:p>
    <w:p w:rsid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Default="006C42A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Pr="00E0272C" w:rsidRDefault="006C42A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1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Порядку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2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 реализации муниципальной программы</w:t>
      </w:r>
    </w:p>
    <w:p w:rsidR="00994C9D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«_______________________________________________»</w:t>
      </w:r>
    </w:p>
    <w:p w:rsidR="00E0272C" w:rsidRPr="00994C9D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12"/>
          <w:szCs w:val="28"/>
          <w:lang w:eastAsia="ru-RU"/>
        </w:rPr>
      </w:pPr>
      <w:r w:rsidRPr="00994C9D">
        <w:rPr>
          <w:rFonts w:ascii="Times New Roman" w:eastAsia="Times New Roman" w:hAnsi="Times New Roman" w:cs="Times New Roman"/>
          <w:color w:val="444444"/>
          <w:sz w:val="12"/>
          <w:szCs w:val="28"/>
          <w:lang w:eastAsia="ru-RU"/>
        </w:rPr>
        <w:t>(наименование муниципальной программы)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3126"/>
        <w:gridCol w:w="1937"/>
        <w:gridCol w:w="1192"/>
        <w:gridCol w:w="1471"/>
        <w:gridCol w:w="1393"/>
        <w:gridCol w:w="1167"/>
        <w:gridCol w:w="1473"/>
        <w:gridCol w:w="1426"/>
      </w:tblGrid>
      <w:tr w:rsidR="00E0272C" w:rsidRPr="00994C9D" w:rsidTr="00994C9D">
        <w:tc>
          <w:tcPr>
            <w:tcW w:w="312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E0272C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193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19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Годы реализации</w:t>
            </w:r>
          </w:p>
        </w:tc>
        <w:tc>
          <w:tcPr>
            <w:tcW w:w="6930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E0272C" w:rsidRPr="00994C9D" w:rsidTr="00994C9D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местный бюджет</w:t>
            </w:r>
          </w:p>
        </w:tc>
        <w:tc>
          <w:tcPr>
            <w:tcW w:w="116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994C9D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краевой</w:t>
            </w:r>
            <w:r w:rsidR="00E0272C"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47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4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прочие источники</w:t>
            </w:r>
          </w:p>
        </w:tc>
      </w:tr>
    </w:tbl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3454"/>
        <w:gridCol w:w="1841"/>
        <w:gridCol w:w="1152"/>
        <w:gridCol w:w="1515"/>
        <w:gridCol w:w="1365"/>
        <w:gridCol w:w="1128"/>
        <w:gridCol w:w="1365"/>
        <w:gridCol w:w="1365"/>
      </w:tblGrid>
      <w:tr w:rsidR="00E0272C" w:rsidRPr="00994C9D" w:rsidTr="00E0272C">
        <w:trPr>
          <w:tblHeader/>
        </w:trPr>
        <w:tc>
          <w:tcPr>
            <w:tcW w:w="3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8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Программа «_________________»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Итого по муниципальной программе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Подпрограмма 1″______________»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Итого по подпрограмме 1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1476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Проектная часть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1476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Процессная часть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Комплекс процессных мероприятий «наименование комплекса»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Мероприятие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 — 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Мероприятие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 — 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Подпрограмма 1″______________»</w:t>
            </w:r>
          </w:p>
          <w:p w:rsidR="00E0272C" w:rsidRPr="00994C9D" w:rsidRDefault="00E0272C" w:rsidP="00E0272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Итого по подпрограмме 2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Итого по подпрограмме 2</w:t>
            </w:r>
          </w:p>
        </w:tc>
        <w:tc>
          <w:tcPr>
            <w:tcW w:w="21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1476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Проектная часть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14760" w:type="dxa"/>
            <w:gridSpan w:val="8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bdr w:val="none" w:sz="0" w:space="0" w:color="auto" w:frame="1"/>
                <w:lang w:eastAsia="ru-RU"/>
              </w:rPr>
              <w:t>Процессная часть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Комплекс процессных мероприятий «наименование комплекса»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2022-2024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Мероприятие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 — 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3705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Мероприятие</w:t>
            </w:r>
          </w:p>
        </w:tc>
        <w:tc>
          <w:tcPr>
            <w:tcW w:w="213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2023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  <w:tr w:rsidR="00E0272C" w:rsidRPr="00994C9D" w:rsidTr="00E0272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2022 — 2024</w:t>
            </w:r>
          </w:p>
        </w:tc>
        <w:tc>
          <w:tcPr>
            <w:tcW w:w="174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 </w:t>
            </w:r>
          </w:p>
        </w:tc>
      </w:tr>
    </w:tbl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&lt;1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&gt; Д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уровня муниципальной программы указывается ответственный исполнитель, подпрограммы — соисполнитель, мероприятия, проекта – исполнитель/участник (при наличии).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Default="006C42A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Pr="00E0272C" w:rsidRDefault="006C42A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1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Порядку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3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Информация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ходе реализации муниципальной программы /подпрограммы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«наименование программы /подпрограммы»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Финансирование мероприятий муниципальной программы/подпрограммы</w:t>
      </w:r>
    </w:p>
    <w:p w:rsidR="00E0272C" w:rsidRPr="00994C9D" w:rsidRDefault="00E0272C" w:rsidP="00E0272C">
      <w:pPr>
        <w:numPr>
          <w:ilvl w:val="0"/>
          <w:numId w:val="9"/>
        </w:numPr>
        <w:shd w:val="clear" w:color="auto" w:fill="F9F9F9"/>
        <w:spacing w:after="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Выполнение плана мероприятий</w:t>
      </w:r>
      <w:r w:rsidR="00994C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94C9D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(ежеквартально нарастающим итогом)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 период ______________________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2249"/>
        <w:gridCol w:w="2114"/>
        <w:gridCol w:w="2524"/>
        <w:gridCol w:w="2698"/>
        <w:gridCol w:w="3600"/>
      </w:tblGrid>
      <w:tr w:rsidR="00E0272C" w:rsidRPr="00994C9D" w:rsidTr="000A074C">
        <w:tc>
          <w:tcPr>
            <w:tcW w:w="2249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№ строки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мероприятия</w:t>
            </w:r>
          </w:p>
        </w:tc>
        <w:tc>
          <w:tcPr>
            <w:tcW w:w="211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Наименование плановых мероприятий</w:t>
            </w:r>
          </w:p>
        </w:tc>
        <w:tc>
          <w:tcPr>
            <w:tcW w:w="522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Финансирование мероприятий — всего и с выделением источников финансирования (тыс. рублей)</w:t>
            </w:r>
          </w:p>
        </w:tc>
        <w:tc>
          <w:tcPr>
            <w:tcW w:w="360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E0272C" w:rsidRPr="00994C9D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планируемое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на текущий год</w:t>
            </w:r>
          </w:p>
        </w:tc>
        <w:tc>
          <w:tcPr>
            <w:tcW w:w="26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фактическое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</w:tr>
      <w:tr w:rsidR="00E0272C" w:rsidRPr="00994C9D" w:rsidTr="000A074C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2</w:t>
            </w:r>
          </w:p>
        </w:tc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5</w:t>
            </w:r>
          </w:p>
        </w:tc>
      </w:tr>
      <w:tr w:rsidR="00E0272C" w:rsidRPr="00994C9D" w:rsidTr="000A074C">
        <w:tc>
          <w:tcPr>
            <w:tcW w:w="224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1…</w:t>
            </w:r>
          </w:p>
        </w:tc>
        <w:tc>
          <w:tcPr>
            <w:tcW w:w="2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</w:tr>
    </w:tbl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2.Достижение целевых показателей</w:t>
      </w:r>
      <w:r w:rsidR="00994C9D"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 xml:space="preserve"> </w:t>
      </w:r>
      <w:r w:rsidRPr="000A074C">
        <w:rPr>
          <w:rFonts w:ascii="Times New Roman" w:eastAsia="Times New Roman" w:hAnsi="Times New Roman" w:cs="Times New Roman"/>
          <w:i/>
          <w:iCs/>
          <w:color w:val="444444"/>
          <w:szCs w:val="28"/>
          <w:u w:val="single"/>
          <w:bdr w:val="none" w:sz="0" w:space="0" w:color="auto" w:frame="1"/>
          <w:lang w:eastAsia="ru-RU"/>
        </w:rPr>
        <w:t>(ежегодно нарастающим итогом)</w:t>
      </w:r>
      <w:r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 з</w:t>
      </w:r>
      <w:r w:rsid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а период ______________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2197"/>
        <w:gridCol w:w="2246"/>
        <w:gridCol w:w="1642"/>
        <w:gridCol w:w="2330"/>
        <w:gridCol w:w="2557"/>
        <w:gridCol w:w="2213"/>
      </w:tblGrid>
      <w:tr w:rsidR="00E0272C" w:rsidRPr="00994C9D" w:rsidTr="000A074C">
        <w:tc>
          <w:tcPr>
            <w:tcW w:w="2197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№ строки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224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642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Единица измерения</w:t>
            </w:r>
          </w:p>
        </w:tc>
        <w:tc>
          <w:tcPr>
            <w:tcW w:w="7100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Значение целевого показателя</w:t>
            </w:r>
          </w:p>
        </w:tc>
      </w:tr>
      <w:tr w:rsidR="00E0272C" w:rsidRPr="00994C9D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</w:tc>
        <w:tc>
          <w:tcPr>
            <w:tcW w:w="2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планируемое</w:t>
            </w:r>
          </w:p>
          <w:p w:rsidR="00E0272C" w:rsidRPr="00994C9D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на текущий год</w:t>
            </w:r>
          </w:p>
        </w:tc>
        <w:tc>
          <w:tcPr>
            <w:tcW w:w="25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proofErr w:type="gramStart"/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фактическое</w:t>
            </w:r>
            <w:proofErr w:type="gramEnd"/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 xml:space="preserve"> за отчетный период</w:t>
            </w:r>
          </w:p>
        </w:tc>
        <w:tc>
          <w:tcPr>
            <w:tcW w:w="22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процент выполнения</w:t>
            </w:r>
          </w:p>
        </w:tc>
      </w:tr>
      <w:tr w:rsidR="00E0272C" w:rsidRPr="00994C9D" w:rsidTr="000A074C">
        <w:tc>
          <w:tcPr>
            <w:tcW w:w="2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3</w:t>
            </w:r>
          </w:p>
        </w:tc>
        <w:tc>
          <w:tcPr>
            <w:tcW w:w="2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4</w:t>
            </w:r>
          </w:p>
        </w:tc>
        <w:tc>
          <w:tcPr>
            <w:tcW w:w="25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5</w:t>
            </w:r>
          </w:p>
        </w:tc>
        <w:tc>
          <w:tcPr>
            <w:tcW w:w="22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6</w:t>
            </w:r>
          </w:p>
        </w:tc>
      </w:tr>
      <w:tr w:rsidR="00E0272C" w:rsidRPr="00994C9D" w:rsidTr="000A074C">
        <w:tc>
          <w:tcPr>
            <w:tcW w:w="21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1…</w:t>
            </w:r>
          </w:p>
        </w:tc>
        <w:tc>
          <w:tcPr>
            <w:tcW w:w="22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5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994C9D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  <w:r w:rsidRPr="00994C9D"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  <w:t> </w:t>
            </w:r>
          </w:p>
        </w:tc>
      </w:tr>
    </w:tbl>
    <w:p w:rsidR="00E0272C" w:rsidRDefault="00E0272C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94C9D" w:rsidRDefault="00994C9D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Default="006C42AE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Default="006C42AE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Default="006C42AE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Default="006C42AE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Pr="00E0272C" w:rsidRDefault="000A074C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Приложение 1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Порядку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Таблица 4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Расходы на реализацию муниципальной программы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«наименование муниципальной программы»</w:t>
      </w:r>
    </w:p>
    <w:tbl>
      <w:tblPr>
        <w:tblW w:w="13185" w:type="dxa"/>
        <w:tblCellMar>
          <w:left w:w="0" w:type="dxa"/>
          <w:right w:w="0" w:type="dxa"/>
        </w:tblCellMar>
        <w:tblLook w:val="04A0"/>
      </w:tblPr>
      <w:tblGrid>
        <w:gridCol w:w="1114"/>
        <w:gridCol w:w="3490"/>
        <w:gridCol w:w="1856"/>
        <w:gridCol w:w="1663"/>
        <w:gridCol w:w="1663"/>
        <w:gridCol w:w="1663"/>
        <w:gridCol w:w="879"/>
        <w:gridCol w:w="857"/>
      </w:tblGrid>
      <w:tr w:rsidR="00E0272C" w:rsidRPr="000A074C" w:rsidTr="000A074C">
        <w:tc>
          <w:tcPr>
            <w:tcW w:w="111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№</w:t>
            </w:r>
          </w:p>
          <w:p w:rsidR="00E0272C" w:rsidRPr="000A074C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строки</w:t>
            </w:r>
          </w:p>
        </w:tc>
        <w:tc>
          <w:tcPr>
            <w:tcW w:w="3490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1856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</w:t>
            </w:r>
          </w:p>
          <w:p w:rsidR="00E0272C" w:rsidRPr="000A074C" w:rsidRDefault="00E0272C" w:rsidP="00E0272C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(тыс. рублей)</w:t>
            </w:r>
          </w:p>
        </w:tc>
        <w:tc>
          <w:tcPr>
            <w:tcW w:w="6725" w:type="dxa"/>
            <w:gridSpan w:val="5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том числе</w:t>
            </w:r>
          </w:p>
        </w:tc>
      </w:tr>
      <w:tr w:rsidR="00E0272C" w:rsidRPr="000A074C" w:rsidTr="000A074C"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vAlign w:val="center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первый год реализации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второй год реализации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третий год реализации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8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071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ОБЩИЕ РАСХОДЫ НА РЕАЛИЗАЦИЮ МУНИЦИПАЛЬНОЙ ПРОГРАММЫ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областного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Прочих источников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071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ПО ПОДПРОГРАММЕ 1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областного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Прочих источников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071" w:type="dxa"/>
            <w:gridSpan w:val="7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ПО ПОДПРОГРАММЕ 2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Всего: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в том числе за счет средств: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федерального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областного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местного бюджета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  <w:tr w:rsidR="00E0272C" w:rsidRPr="000A074C" w:rsidTr="000A074C">
        <w:tc>
          <w:tcPr>
            <w:tcW w:w="111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34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прочих источников (плановый объем)</w:t>
            </w:r>
          </w:p>
        </w:tc>
        <w:tc>
          <w:tcPr>
            <w:tcW w:w="18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0272C" w:rsidRPr="000A074C" w:rsidRDefault="00E0272C" w:rsidP="00E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  <w:r w:rsidRPr="000A074C"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  <w:t> </w:t>
            </w:r>
          </w:p>
        </w:tc>
      </w:tr>
    </w:tbl>
    <w:p w:rsid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A074C" w:rsidRDefault="000A074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C42AE" w:rsidRPr="00E0272C" w:rsidRDefault="006C42AE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Приложение 2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Порядку</w:t>
      </w:r>
    </w:p>
    <w:p w:rsidR="00E0272C" w:rsidRPr="00E0272C" w:rsidRDefault="00E0272C" w:rsidP="006C42AE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Методика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оценки эффективности муниципальных программ</w:t>
      </w:r>
    </w:p>
    <w:p w:rsidR="00E0272C" w:rsidRPr="00E0272C" w:rsidRDefault="00E0272C" w:rsidP="00E0272C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Настоящая Методика определяет порядок оценки результативности и эффективности реализации муниципальных программ.</w:t>
      </w:r>
    </w:p>
    <w:p w:rsidR="00E0272C" w:rsidRPr="00E0272C" w:rsidRDefault="00E0272C" w:rsidP="00E0272C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E0272C" w:rsidRPr="00E0272C" w:rsidRDefault="00E0272C" w:rsidP="00E0272C">
      <w:pPr>
        <w:numPr>
          <w:ilvl w:val="0"/>
          <w:numId w:val="10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E0272C" w:rsidRPr="00E0272C" w:rsidRDefault="00E0272C" w:rsidP="00E0272C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качестве 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критериев оценки результативности реализации Программы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E0272C" w:rsidRPr="00E0272C" w:rsidRDefault="00E0272C" w:rsidP="00E0272C">
      <w:pPr>
        <w:numPr>
          <w:ilvl w:val="0"/>
          <w:numId w:val="11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Индекс результативности Программы (мероприятия) оценивается по каждому целевому показателю в год t и за расчетный период T:</w:t>
      </w:r>
    </w:p>
    <w:p w:rsidR="00E0272C" w:rsidRPr="000A074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Cs w:val="28"/>
          <w:lang w:eastAsia="ru-RU"/>
        </w:rPr>
      </w:pPr>
      <w:proofErr w:type="spellStart"/>
      <w:proofErr w:type="gramStart"/>
      <w:r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Р</w:t>
      </w:r>
      <w:proofErr w:type="gramEnd"/>
      <w:r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it</w:t>
      </w:r>
      <w:proofErr w:type="spellEnd"/>
      <w:r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 xml:space="preserve"> =</w:t>
      </w:r>
      <w:r w:rsid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 xml:space="preserve"> </w:t>
      </w:r>
      <w:proofErr w:type="spellStart"/>
      <w:r w:rsidR="000A074C"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Пфit</w:t>
      </w:r>
      <w:proofErr w:type="spellEnd"/>
      <w:r w:rsid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/</w:t>
      </w:r>
      <w:r w:rsidR="000A074C"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 xml:space="preserve"> </w:t>
      </w:r>
      <w:proofErr w:type="spellStart"/>
      <w:r w:rsidR="000A074C"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Ппit</w:t>
      </w:r>
      <w:proofErr w:type="spellEnd"/>
      <w:r w:rsidRPr="000A074C">
        <w:rPr>
          <w:rFonts w:ascii="Times New Roman" w:eastAsia="Times New Roman" w:hAnsi="Times New Roman" w:cs="Times New Roman"/>
          <w:color w:val="444444"/>
          <w:szCs w:val="28"/>
          <w:lang w:eastAsia="ru-RU"/>
        </w:rPr>
        <w:t>,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где:</w:t>
      </w:r>
      <w:r w:rsid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it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результативность достижения i-го показателя, характеризующего ход реализации Программы, в год t;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Пф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фактическое значение i-го показателя, характеризующего реализацию Программы, в год t;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Пп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плановое значение i-го показателя, характеризующего реализацию Программы, в год t;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 — номер показателя Программы.</w:t>
      </w:r>
    </w:p>
    <w:p w:rsidR="00E0272C" w:rsidRPr="00E0272C" w:rsidRDefault="00E0272C" w:rsidP="00E0272C">
      <w:pPr>
        <w:numPr>
          <w:ilvl w:val="0"/>
          <w:numId w:val="1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Интегральная оценка результативности Программы в год t определяется по следующей формуле:</w:t>
      </w:r>
    </w:p>
    <w:p w:rsidR="00E0272C" w:rsidRPr="000A074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Ht = </w:t>
      </w:r>
      <w:r w:rsidR="000A074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SUM </w:t>
      </w:r>
      <w:r w:rsidR="000A074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0A074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it</w:t>
      </w:r>
      <w:r w:rsidR="000A074C"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/ m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x 100,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где:</w:t>
      </w:r>
      <w:r w:rsid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Ht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интегральная оценка результативности Программы в год t (в процентах);</w:t>
      </w:r>
    </w:p>
    <w:p w:rsidR="00E0272C" w:rsidRPr="00E0272C" w:rsidRDefault="00E0272C" w:rsidP="00E0272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it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индекс результативности по 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i-му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показателю </w:t>
      </w:r>
      <w:hyperlink r:id="rId8" w:history="1">
        <w:r w:rsidRPr="00E0272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bdr w:val="none" w:sz="0" w:space="0" w:color="auto" w:frame="1"/>
            <w:lang w:eastAsia="ru-RU"/>
          </w:rPr>
          <w:t>&lt;1&gt;</w:t>
        </w:r>
      </w:hyperlink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год 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m — количество показателей Программы.</w:t>
      </w:r>
    </w:p>
    <w:p w:rsidR="00E0272C" w:rsidRPr="000A074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</w:pPr>
      <w:r w:rsidRPr="000A074C"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  <w:t>&lt;1</w:t>
      </w:r>
      <w:proofErr w:type="gramStart"/>
      <w:r w:rsidRPr="000A074C"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  <w:t>&gt; В</w:t>
      </w:r>
      <w:proofErr w:type="gramEnd"/>
      <w:r w:rsidRPr="000A074C">
        <w:rPr>
          <w:rFonts w:ascii="Times New Roman" w:eastAsia="Times New Roman" w:hAnsi="Times New Roman" w:cs="Times New Roman"/>
          <w:color w:val="444444"/>
          <w:sz w:val="20"/>
          <w:szCs w:val="28"/>
          <w:lang w:eastAsia="ru-RU"/>
        </w:rPr>
        <w:t>се целевые и объемные показатели Программы являются равнозначными.</w:t>
      </w:r>
    </w:p>
    <w:p w:rsidR="00E0272C" w:rsidRPr="00E0272C" w:rsidRDefault="00E0272C" w:rsidP="00E0272C">
      <w:pPr>
        <w:numPr>
          <w:ilvl w:val="0"/>
          <w:numId w:val="13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E0272C" w:rsidRPr="000A074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t</w:t>
      </w:r>
      <w:proofErr w:type="gramEnd"/>
      <w:r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=</w:t>
      </w:r>
      <w:r w:rsidR="000A074C"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A074C"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Ht</w:t>
      </w:r>
      <w:r w:rsidR="000A074C"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/ </w:t>
      </w:r>
      <w:r w:rsidR="000A074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St</w:t>
      </w:r>
      <w:r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x</w:t>
      </w:r>
      <w:r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100,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где</w:t>
      </w:r>
      <w:r w:rsidRP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  <w:r w:rsidR="000A074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эффективность Программы в год t;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St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Ht</w:t>
      </w:r>
      <w:proofErr w:type="spell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интегральная оценка результативности Программы в год t.</w:t>
      </w:r>
    </w:p>
    <w:p w:rsidR="00E0272C" w:rsidRPr="00E0272C" w:rsidRDefault="00E0272C" w:rsidP="00E0272C">
      <w:pPr>
        <w:numPr>
          <w:ilvl w:val="0"/>
          <w:numId w:val="14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показателя (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от 90 до 110% — реализация Программы соответствует запланированным результатам при запланированном объеме расходов — запланированная эффективность реализации Программы;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показателя (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более 110% — эффективность реализации Программы более высокая по сравнению с запланированной;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показателя (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от 50 до 90% — эффективность реализации Программы более низкая по сравнению с запланированной;</w:t>
      </w:r>
    </w:p>
    <w:p w:rsidR="00E0272C" w:rsidRPr="00E0272C" w:rsidRDefault="00E0272C" w:rsidP="00E0272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значение показателя (</w:t>
      </w:r>
      <w:proofErr w:type="spell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</w:t>
      </w:r>
      <w:proofErr w:type="gramStart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</w:t>
      </w:r>
      <w:proofErr w:type="spellEnd"/>
      <w:proofErr w:type="gramEnd"/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менее 50% — Программа реализуется неэффективно.</w:t>
      </w:r>
    </w:p>
    <w:p w:rsidR="00E0272C" w:rsidRPr="00E0272C" w:rsidRDefault="00E0272C" w:rsidP="00E0272C">
      <w:pPr>
        <w:numPr>
          <w:ilvl w:val="0"/>
          <w:numId w:val="15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0272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sectPr w:rsidR="00E0272C" w:rsidRPr="00E0272C" w:rsidSect="00F9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90"/>
    <w:multiLevelType w:val="multilevel"/>
    <w:tmpl w:val="5840D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31FD3"/>
    <w:multiLevelType w:val="multilevel"/>
    <w:tmpl w:val="192E6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91ADB"/>
    <w:multiLevelType w:val="multilevel"/>
    <w:tmpl w:val="D3A2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5DF"/>
    <w:multiLevelType w:val="multilevel"/>
    <w:tmpl w:val="C1624E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9739B"/>
    <w:multiLevelType w:val="multilevel"/>
    <w:tmpl w:val="87F68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207F9"/>
    <w:multiLevelType w:val="multilevel"/>
    <w:tmpl w:val="2F38E8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97242"/>
    <w:multiLevelType w:val="multilevel"/>
    <w:tmpl w:val="4970B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0E3E62"/>
    <w:multiLevelType w:val="multilevel"/>
    <w:tmpl w:val="0EC4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5B51F9"/>
    <w:multiLevelType w:val="multilevel"/>
    <w:tmpl w:val="0254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542B92"/>
    <w:multiLevelType w:val="multilevel"/>
    <w:tmpl w:val="8EEA17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DA75A7"/>
    <w:multiLevelType w:val="multilevel"/>
    <w:tmpl w:val="D47C2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006E5"/>
    <w:multiLevelType w:val="multilevel"/>
    <w:tmpl w:val="3BBC26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B7E31"/>
    <w:multiLevelType w:val="multilevel"/>
    <w:tmpl w:val="DA547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C577A"/>
    <w:multiLevelType w:val="multilevel"/>
    <w:tmpl w:val="4044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BB6B9B"/>
    <w:multiLevelType w:val="multilevel"/>
    <w:tmpl w:val="E8F828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4"/>
  </w:num>
  <w:num w:numId="12">
    <w:abstractNumId w:val="0"/>
  </w:num>
  <w:num w:numId="13">
    <w:abstractNumId w:val="11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0272C"/>
    <w:rsid w:val="00023FC6"/>
    <w:rsid w:val="000A074C"/>
    <w:rsid w:val="001C73C8"/>
    <w:rsid w:val="00620DF6"/>
    <w:rsid w:val="00661979"/>
    <w:rsid w:val="006C42AE"/>
    <w:rsid w:val="0079640E"/>
    <w:rsid w:val="00994C9D"/>
    <w:rsid w:val="00C03EF4"/>
    <w:rsid w:val="00CD52B1"/>
    <w:rsid w:val="00D96281"/>
    <w:rsid w:val="00E0272C"/>
    <w:rsid w:val="00E906B1"/>
    <w:rsid w:val="00F9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56"/>
  </w:style>
  <w:style w:type="paragraph" w:styleId="1">
    <w:name w:val="heading 1"/>
    <w:basedOn w:val="a"/>
    <w:link w:val="10"/>
    <w:uiPriority w:val="9"/>
    <w:qFormat/>
    <w:rsid w:val="00E0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72C"/>
  </w:style>
  <w:style w:type="character" w:styleId="a3">
    <w:name w:val="Hyperlink"/>
    <w:basedOn w:val="a0"/>
    <w:uiPriority w:val="99"/>
    <w:semiHidden/>
    <w:unhideWhenUsed/>
    <w:rsid w:val="00E027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72C"/>
    <w:rPr>
      <w:color w:val="800080"/>
      <w:u w:val="single"/>
    </w:rPr>
  </w:style>
  <w:style w:type="character" w:customStyle="1" w:styleId="label">
    <w:name w:val="label"/>
    <w:basedOn w:val="a0"/>
    <w:rsid w:val="00E0272C"/>
  </w:style>
  <w:style w:type="paragraph" w:styleId="a5">
    <w:name w:val="Normal (Web)"/>
    <w:basedOn w:val="a"/>
    <w:uiPriority w:val="99"/>
    <w:unhideWhenUsed/>
    <w:rsid w:val="00E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72C"/>
    <w:rPr>
      <w:b/>
      <w:bCs/>
    </w:rPr>
  </w:style>
  <w:style w:type="character" w:styleId="a7">
    <w:name w:val="Emphasis"/>
    <w:basedOn w:val="a0"/>
    <w:uiPriority w:val="20"/>
    <w:qFormat/>
    <w:rsid w:val="00E027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27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7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72C"/>
  </w:style>
  <w:style w:type="character" w:styleId="a3">
    <w:name w:val="Hyperlink"/>
    <w:basedOn w:val="a0"/>
    <w:uiPriority w:val="99"/>
    <w:semiHidden/>
    <w:unhideWhenUsed/>
    <w:rsid w:val="00E027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272C"/>
    <w:rPr>
      <w:color w:val="800080"/>
      <w:u w:val="single"/>
    </w:rPr>
  </w:style>
  <w:style w:type="character" w:customStyle="1" w:styleId="label">
    <w:name w:val="label"/>
    <w:basedOn w:val="a0"/>
    <w:rsid w:val="00E0272C"/>
  </w:style>
  <w:style w:type="paragraph" w:styleId="a5">
    <w:name w:val="Normal (Web)"/>
    <w:basedOn w:val="a"/>
    <w:uiPriority w:val="99"/>
    <w:unhideWhenUsed/>
    <w:rsid w:val="00E02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272C"/>
    <w:rPr>
      <w:b/>
      <w:bCs/>
    </w:rPr>
  </w:style>
  <w:style w:type="character" w:styleId="a7">
    <w:name w:val="Emphasis"/>
    <w:basedOn w:val="a0"/>
    <w:uiPriority w:val="20"/>
    <w:qFormat/>
    <w:rsid w:val="00E027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2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49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213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5C8F4E7ACC6B233161AA48CC83D250141AFC3661E9C77F5FAEE09F556170BEFAED3D40052FE07C96534550CBH1G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efebiyf0aent4l.xn--p1ai/?p=78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efebiyf0aent4l.xn--p1ai/?p=787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xn--80aefebiyf0aent4l.xn--p1ai/?p=787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25</Pages>
  <Words>5587</Words>
  <Characters>31847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home</cp:lastModifiedBy>
  <cp:revision>10</cp:revision>
  <dcterms:created xsi:type="dcterms:W3CDTF">2022-07-22T05:38:00Z</dcterms:created>
  <dcterms:modified xsi:type="dcterms:W3CDTF">2022-08-11T03:06:00Z</dcterms:modified>
</cp:coreProperties>
</file>